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CE5C7A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6782E" wp14:editId="128D7CFE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CE5C7A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28 мая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CE5C7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 w:rsidR="00CE5C7A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ГЕОГРАФИЯ</w:t>
            </w:r>
            <w:r w:rsidR="00CE5C7A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по специальности</w:t>
      </w:r>
    </w:p>
    <w:p w:rsidR="009726E1" w:rsidRDefault="009726E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  <w:r w:rsidRPr="009726E1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E5791" w:rsidRPr="009726E1" w:rsidRDefault="00DE5791" w:rsidP="009726E1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386C3D" w:rsidRPr="00386C3D" w:rsidRDefault="00386C3D" w:rsidP="00386C3D">
      <w:pPr>
        <w:widowControl/>
        <w:autoSpaceDE/>
        <w:autoSpaceDN/>
        <w:spacing w:after="120"/>
        <w:jc w:val="center"/>
        <w:rPr>
          <w:rFonts w:eastAsia="Times New Roman" w:cs="Times New Roman"/>
          <w:b/>
          <w:szCs w:val="28"/>
        </w:rPr>
      </w:pPr>
      <w:r w:rsidRPr="00386C3D">
        <w:rPr>
          <w:rFonts w:eastAsia="Times New Roman" w:cs="Times New Roman"/>
          <w:b/>
          <w:bCs/>
          <w:szCs w:val="28"/>
        </w:rPr>
        <w:t xml:space="preserve">38.02.07 </w:t>
      </w:r>
      <w:r w:rsidRPr="00386C3D">
        <w:rPr>
          <w:rFonts w:eastAsia="Times New Roman" w:cs="Times New Roman"/>
          <w:b/>
          <w:bCs/>
          <w:szCs w:val="28"/>
          <w:lang w:eastAsia="ru-RU"/>
        </w:rPr>
        <w:t>Банковское дело</w:t>
      </w:r>
    </w:p>
    <w:p w:rsidR="00386C3D" w:rsidRPr="00386C3D" w:rsidRDefault="00386C3D" w:rsidP="00386C3D">
      <w:pPr>
        <w:widowControl/>
        <w:autoSpaceDE/>
        <w:autoSpaceDN/>
        <w:spacing w:before="240"/>
        <w:jc w:val="center"/>
        <w:outlineLvl w:val="0"/>
        <w:rPr>
          <w:rFonts w:eastAsia="Times New Roman" w:cs="Times New Roman"/>
          <w:bCs/>
          <w:szCs w:val="28"/>
        </w:rPr>
      </w:pPr>
      <w:r w:rsidRPr="00386C3D">
        <w:rPr>
          <w:rFonts w:eastAsia="Times New Roman" w:cs="Times New Roman"/>
          <w:bCs/>
          <w:szCs w:val="28"/>
        </w:rPr>
        <w:t>квалификация выпускника:</w:t>
      </w:r>
    </w:p>
    <w:p w:rsidR="00386C3D" w:rsidRPr="00386C3D" w:rsidRDefault="00386C3D" w:rsidP="00386C3D">
      <w:pPr>
        <w:widowControl/>
        <w:autoSpaceDE/>
        <w:autoSpaceDN/>
        <w:jc w:val="center"/>
        <w:outlineLvl w:val="0"/>
        <w:rPr>
          <w:rFonts w:eastAsia="Times New Roman" w:cs="Times New Roman"/>
          <w:szCs w:val="28"/>
        </w:rPr>
      </w:pPr>
      <w:r w:rsidRPr="00386C3D">
        <w:rPr>
          <w:rFonts w:eastAsia="Times New Roman" w:cs="Times New Roman"/>
          <w:bCs/>
          <w:szCs w:val="28"/>
        </w:rPr>
        <w:t>Специалист банковского дела</w:t>
      </w:r>
    </w:p>
    <w:p w:rsidR="00386C3D" w:rsidRPr="00386C3D" w:rsidRDefault="00386C3D" w:rsidP="00386C3D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2412A4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2412A4">
        <w:rPr>
          <w:rFonts w:eastAsia="Times New Roman" w:cs="Times New Roman"/>
          <w:szCs w:val="28"/>
        </w:rPr>
        <w:t xml:space="preserve">Год начала </w:t>
      </w:r>
      <w:r w:rsidR="003A47D4">
        <w:rPr>
          <w:rFonts w:eastAsia="Times New Roman" w:cs="Times New Roman"/>
          <w:szCs w:val="28"/>
        </w:rPr>
        <w:t>подготовки: 2023</w:t>
      </w:r>
      <w:bookmarkStart w:id="0" w:name="_GoBack"/>
      <w:bookmarkEnd w:id="0"/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CE5C7A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386C3D" w:rsidP="00386C3D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lastRenderedPageBreak/>
                    <w:t xml:space="preserve">Рабочая программа </w:t>
                  </w:r>
                  <w:r w:rsidRPr="00386C3D">
                    <w:rPr>
                      <w:rFonts w:eastAsia="Calibri" w:cs="Times New Roman"/>
                      <w:color w:val="000000"/>
                      <w:szCs w:val="20"/>
                      <w:lang w:eastAsia="ru-RU"/>
                    </w:rPr>
                    <w:t>общеобразовательной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дисциплины </w:t>
                  </w:r>
                  <w:r>
                    <w:rPr>
                      <w:rFonts w:eastAsia="Times New Roman" w:cs="Times New Roman"/>
                      <w:i/>
                      <w:color w:val="000000"/>
                      <w:szCs w:val="28"/>
                    </w:rPr>
                    <w:t>География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17 мая 2012 г. № 413, </w:t>
                  </w:r>
                  <w:r w:rsidRPr="00386C3D">
                    <w:rPr>
                      <w:rFonts w:eastAsia="Times New Roman" w:cs="Times New Roman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38.02.07 </w:t>
                  </w:r>
                  <w:r w:rsidRPr="00386C3D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Банковское дело</w:t>
                  </w:r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Pr="00386C3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05 февраля 2018г. №67.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CE5C7A">
        <w:rPr>
          <w:rFonts w:eastAsia="Calibri" w:cs="Times New Roman"/>
          <w:szCs w:val="28"/>
        </w:rPr>
        <w:t>28</w:t>
      </w:r>
      <w:r w:rsidR="00EC5C19">
        <w:rPr>
          <w:rFonts w:eastAsia="Calibri" w:cs="Times New Roman"/>
          <w:szCs w:val="28"/>
        </w:rPr>
        <w:t xml:space="preserve"> </w:t>
      </w:r>
      <w:r w:rsidR="00CE5C7A">
        <w:rPr>
          <w:rFonts w:eastAsia="Calibri" w:cs="Times New Roman"/>
          <w:szCs w:val="28"/>
        </w:rPr>
        <w:t xml:space="preserve">мая </w:t>
      </w:r>
      <w:r w:rsidRPr="009726E1">
        <w:rPr>
          <w:rFonts w:eastAsia="Calibri" w:cs="Times New Roman"/>
          <w:szCs w:val="28"/>
        </w:rPr>
        <w:t>202</w:t>
      </w:r>
      <w:r w:rsidR="00CE5C7A">
        <w:rPr>
          <w:rFonts w:eastAsia="Calibri" w:cs="Times New Roman"/>
          <w:szCs w:val="28"/>
        </w:rPr>
        <w:t>5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CE5C7A">
        <w:rPr>
          <w:rFonts w:eastAsia="Calibri" w:cs="Times New Roman"/>
          <w:szCs w:val="28"/>
        </w:rPr>
        <w:t>0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CE5C7A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B6B12E1" wp14:editId="35C02B03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3A47D4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3A47D4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</w:t>
      </w:r>
      <w:r w:rsidR="00386C3D">
        <w:rPr>
          <w:rFonts w:cs="Times New Roman"/>
          <w:szCs w:val="28"/>
        </w:rPr>
        <w:t>7</w:t>
      </w:r>
      <w:r w:rsidRPr="007A3702">
        <w:rPr>
          <w:rFonts w:cs="Times New Roman"/>
          <w:szCs w:val="28"/>
        </w:rPr>
        <w:t xml:space="preserve"> </w:t>
      </w:r>
      <w:r w:rsidR="00386C3D">
        <w:rPr>
          <w:rFonts w:cs="Times New Roman"/>
          <w:szCs w:val="28"/>
        </w:rPr>
        <w:t>Банковское дело.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3A47D4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</w:t>
            </w:r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E600CA">
              <w:rPr>
                <w:rFonts w:cs="Times New Roman"/>
                <w:szCs w:val="28"/>
              </w:rPr>
              <w:t xml:space="preserve"> .Особенности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3A47D4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19" w:rsidRDefault="00EC5C19">
      <w:r>
        <w:separator/>
      </w:r>
    </w:p>
  </w:endnote>
  <w:endnote w:type="continuationSeparator" w:id="0">
    <w:p w:rsidR="00EC5C19" w:rsidRDefault="00E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A47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47D4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A47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47D4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A47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A47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47D4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3A47D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A47D4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19" w:rsidRDefault="00EC5C19">
      <w:r>
        <w:separator/>
      </w:r>
    </w:p>
  </w:footnote>
  <w:footnote w:type="continuationSeparator" w:id="0">
    <w:p w:rsidR="00EC5C19" w:rsidRDefault="00E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412A4"/>
    <w:rsid w:val="002B10B6"/>
    <w:rsid w:val="00302105"/>
    <w:rsid w:val="003339BB"/>
    <w:rsid w:val="003657EA"/>
    <w:rsid w:val="00386C3D"/>
    <w:rsid w:val="00392B38"/>
    <w:rsid w:val="003A47D4"/>
    <w:rsid w:val="003B233A"/>
    <w:rsid w:val="004B6C75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33D41"/>
    <w:rsid w:val="00C5142C"/>
    <w:rsid w:val="00CA1573"/>
    <w:rsid w:val="00CE5C7A"/>
    <w:rsid w:val="00D64977"/>
    <w:rsid w:val="00DE5791"/>
    <w:rsid w:val="00E5158D"/>
    <w:rsid w:val="00E600CA"/>
    <w:rsid w:val="00EC5C19"/>
    <w:rsid w:val="00F43E00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33</Pages>
  <Words>6902</Words>
  <Characters>39347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29</cp:revision>
  <cp:lastPrinted>2023-08-31T06:31:00Z</cp:lastPrinted>
  <dcterms:created xsi:type="dcterms:W3CDTF">2023-04-06T04:29:00Z</dcterms:created>
  <dcterms:modified xsi:type="dcterms:W3CDTF">2025-11-19T09:43:00Z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